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采购需求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1、采购项目数量、概况：</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学校二期学生公寓A栋共2幢单体（A1、A2)，每幢6层，每层两台洗衣机，共计24台，需按招标方指定的地点和位置，由中标人免费安装洗衣机及相关的计量仪器。为方便和让利给学生，招标方只收取投标人的水电费用（水费2.5元/吨；电1元/度），中标单位必须按双方约定时间（按季度支付）足额及时地向询价单位交纳水电费用。学校使用人数约1650人。</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2、服务价格上限要求：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服务价格金额表，投标单位服务价格须在此单价之内：</w:t>
      </w:r>
    </w:p>
    <w:tbl>
      <w:tblPr>
        <w:tblStyle w:val="6"/>
        <w:tblW w:w="0" w:type="auto"/>
        <w:jc w:val="center"/>
        <w:tblLayout w:type="autofit"/>
        <w:tblCellMar>
          <w:top w:w="0" w:type="dxa"/>
          <w:left w:w="0" w:type="dxa"/>
          <w:bottom w:w="0" w:type="dxa"/>
          <w:right w:w="0" w:type="dxa"/>
        </w:tblCellMar>
      </w:tblPr>
      <w:tblGrid>
        <w:gridCol w:w="960"/>
        <w:gridCol w:w="1980"/>
        <w:gridCol w:w="2550"/>
      </w:tblGrid>
      <w:tr>
        <w:tblPrEx>
          <w:tblCellMar>
            <w:top w:w="0" w:type="dxa"/>
            <w:left w:w="0" w:type="dxa"/>
            <w:bottom w:w="0" w:type="dxa"/>
            <w:right w:w="0" w:type="dxa"/>
          </w:tblCellMar>
        </w:tblPrEx>
        <w:trPr>
          <w:jc w:val="center"/>
        </w:trPr>
        <w:tc>
          <w:tcPr>
            <w:tcW w:w="960"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序号</w:t>
            </w:r>
          </w:p>
        </w:tc>
        <w:tc>
          <w:tcPr>
            <w:tcW w:w="1980" w:type="dxa"/>
            <w:tcBorders>
              <w:top w:val="single" w:color="000000" w:sz="6" w:space="0"/>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服务内容</w:t>
            </w:r>
          </w:p>
        </w:tc>
        <w:tc>
          <w:tcPr>
            <w:tcW w:w="2550" w:type="dxa"/>
            <w:tcBorders>
              <w:top w:val="single" w:color="000000" w:sz="6" w:space="0"/>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控制价格</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1</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脱水</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2元/次</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2</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快洗</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3元/次</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3</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标准洗</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4元/次</w:t>
            </w:r>
          </w:p>
        </w:tc>
      </w:tr>
      <w:tr>
        <w:tblPrEx>
          <w:tblCellMar>
            <w:top w:w="0" w:type="dxa"/>
            <w:left w:w="0" w:type="dxa"/>
            <w:bottom w:w="0" w:type="dxa"/>
            <w:right w:w="0" w:type="dxa"/>
          </w:tblCellMar>
        </w:tblPrEx>
        <w:trPr>
          <w:jc w:val="center"/>
        </w:trPr>
        <w:tc>
          <w:tcPr>
            <w:tcW w:w="960" w:type="dxa"/>
            <w:tcBorders>
              <w:top w:val="nil"/>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4</w:t>
            </w:r>
          </w:p>
        </w:tc>
        <w:tc>
          <w:tcPr>
            <w:tcW w:w="198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大件洗</w:t>
            </w:r>
          </w:p>
        </w:tc>
        <w:tc>
          <w:tcPr>
            <w:tcW w:w="2550" w:type="dxa"/>
            <w:tcBorders>
              <w:top w:val="nil"/>
              <w:left w:val="nil"/>
              <w:bottom w:val="single" w:color="000000" w:sz="6" w:space="0"/>
              <w:right w:val="single" w:color="000000" w:sz="6" w:space="0"/>
            </w:tcBorders>
            <w:noWrap w:val="0"/>
            <w:tcMar>
              <w:top w:w="0" w:type="dxa"/>
              <w:left w:w="105" w:type="dxa"/>
              <w:bottom w:w="0" w:type="dxa"/>
              <w:right w:w="105" w:type="dxa"/>
            </w:tcMar>
            <w:vAlign w:val="center"/>
          </w:tcPr>
          <w:p>
            <w:pPr>
              <w:snapToGrid w:val="0"/>
              <w:jc w:val="both"/>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5元/次</w:t>
            </w:r>
          </w:p>
        </w:tc>
      </w:tr>
    </w:tbl>
    <w:p>
      <w:pPr>
        <w:spacing w:line="500" w:lineRule="exact"/>
        <w:ind w:firstLine="480" w:firstLineChars="200"/>
        <w:rPr>
          <w:rFonts w:hint="default" w:ascii="宋体" w:hAnsi="宋体" w:eastAsia="宋体" w:cs="宋体"/>
          <w:color w:val="auto"/>
          <w:sz w:val="24"/>
          <w:szCs w:val="24"/>
          <w:lang w:val="en-US" w:eastAsia="zh-CN"/>
        </w:rPr>
      </w:pPr>
      <w:r>
        <w:rPr>
          <w:rFonts w:hint="eastAsia" w:ascii="宋体" w:hAnsi="宋体" w:eastAsia="宋体" w:cs="宋体"/>
          <w:b w:val="0"/>
          <w:bCs/>
          <w:color w:val="auto"/>
          <w:kern w:val="0"/>
          <w:sz w:val="24"/>
          <w:szCs w:val="24"/>
          <w:lang w:val="en-US" w:eastAsia="zh-CN"/>
        </w:rPr>
        <w:t xml:space="preserve">   </w:t>
      </w:r>
      <w:r>
        <w:rPr>
          <w:rFonts w:hint="eastAsia" w:ascii="宋体" w:hAnsi="宋体" w:eastAsia="宋体" w:cs="宋体"/>
          <w:color w:val="auto"/>
          <w:sz w:val="24"/>
          <w:szCs w:val="24"/>
          <w:lang w:val="en-US" w:eastAsia="zh-CN"/>
        </w:rPr>
        <w:t xml:space="preserve">注：投标单位投标报价高于单价为无效报价。           </w:t>
      </w:r>
    </w:p>
    <w:p>
      <w:pPr>
        <w:numPr>
          <w:ilvl w:val="0"/>
          <w:numId w:val="1"/>
        </w:numPr>
        <w:spacing w:line="500" w:lineRule="exact"/>
        <w:ind w:firstLine="480" w:firstLineChars="200"/>
        <w:rPr>
          <w:rFonts w:hint="eastAsia" w:ascii="宋体" w:hAnsi="宋体" w:eastAsia="宋体" w:cs="宋体"/>
          <w:b w:val="0"/>
          <w:bCs/>
          <w:color w:val="auto"/>
          <w:kern w:val="0"/>
          <w:sz w:val="24"/>
          <w:szCs w:val="24"/>
          <w:lang w:val="en-US" w:eastAsia="zh-CN"/>
        </w:rPr>
      </w:pPr>
      <w:r>
        <w:rPr>
          <w:rFonts w:hint="eastAsia" w:ascii="宋体" w:hAnsi="宋体" w:eastAsia="宋体" w:cs="宋体"/>
          <w:b w:val="0"/>
          <w:bCs/>
          <w:color w:val="auto"/>
          <w:kern w:val="0"/>
          <w:sz w:val="24"/>
          <w:szCs w:val="24"/>
          <w:lang w:val="en-US" w:eastAsia="zh-CN"/>
        </w:rPr>
        <w:t>供货期限：合同签字后中标单位将相关设备在15天内安装调试完毕。</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4、服务期限：三年。</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5、采购项目服务要求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1、投标人要求：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需提供2022年以来（自助洗衣服务）的高校案例合同及提供2021年或2022年的财务审计报表。投标人需具有ISO9001质量管理体系认证证书。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2、洗衣设备要求：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洗衣机具备2级及以上能效，商业型滚筒式洗衣机，设备容量达到5公斤及以上，通过国家3C强制认证，洗衣机具备剩余时间显示、洗完自动提醒、桶自洁、远程故障报警及处理功能、断电记忆，自带消毒功能：消毒功能完备、可靠，除菌率大于90%以上。所有设备应具备预约功能，融入学校一卡通项目，可实现网上支付、网上监控工作状态、网上提醒等功能。供应商对本项目设备铺装建设方案、安装调试方案具备完整性、合理性、安全性、科学性。投标的洗衣机具备厂家针对本项目的质保函。</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3、设备售后服务要求：</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标单位至少每半个月清洁、消毒、设备维护一次；在此过程中水电及机器安全均由中标单位承担，由此产生的事故造成的损失和责任也均由中标单位全部承担。运营服务方案合理，具有避免交叉感染、卫生打扫、消毒处理、投诉处理、售后等服务方案，具有五星级售后服务认证证书。</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设施、设备安装、调试后必须在现场张贴设备使用说明，以保证学生能正确使用各项设施设备。商家服务咨询人员提供7*24小时咨询服务。</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4、人员配置：</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为保证项目的整体实施科学合理，投标人针对本次项目的负责人具备相应资质及经验；</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5、合同签字后中标单位将相关设备在15天内安装调试完毕。</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6、中标单位必须按卫生、质监、工商等部门要求依法经营，经营场所内杜绝各项违规经营。中标单位负责经营过程中的所有相关管理工作，承担经营管理责任。</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中标单位应定价合理并保持价格稳定，随时接受上级卫生监督部门、物价部门、质检部门及工商部门的检查，接受并遵守学校相关职能部门对服务质量、经营等方面的监督管理和检查考核工作。如因自助洗衣机未及时消毒清理干净而引起的疾病所带来的后果和损失由中标单位承担，学校不承担连带责任。</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中标单位负责洗衣服务相关设施设备的消防、安全、保卫等工作，服务消防安全检查，确保洗衣房和自助洗衣设备消防安全达标并积极配合甲方做好洗衣房的安全保卫工作，如在经营过程中发生消防安全事故，由中标单位承担安全责任，学校不承连带责任。</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9、中标单位按照合同约定的时间期限完成设备装调，保证所有设备正常使用。</w:t>
      </w:r>
    </w:p>
    <w:p>
      <w:pPr>
        <w:spacing w:line="5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10、中标单位必须自主经营，不得将业务转包，投标的洗衣机具备厂家针对本项目的授权如出现以上问题，学校有权终止合同。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44D6DC"/>
    <w:multiLevelType w:val="singleLevel"/>
    <w:tmpl w:val="7844D6D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B675E7"/>
    <w:rsid w:val="57B67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5">
    <w:name w:val="heading 1"/>
    <w:basedOn w:val="1"/>
    <w:next w:val="1"/>
    <w:qFormat/>
    <w:uiPriority w:val="0"/>
    <w:pPr>
      <w:keepNext/>
      <w:outlineLvl w:val="0"/>
    </w:pPr>
    <w:rPr>
      <w:sz w:val="28"/>
      <w:szCs w:val="2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0"/>
    <w:pPr>
      <w:spacing w:after="120"/>
      <w:ind w:left="420" w:leftChars="200" w:firstLine="420" w:firstLineChars="200"/>
    </w:pPr>
    <w:rPr>
      <w:sz w:val="32"/>
    </w:rPr>
  </w:style>
  <w:style w:type="paragraph" w:styleId="3">
    <w:name w:val="Body Text Indent"/>
    <w:basedOn w:val="1"/>
    <w:next w:val="4"/>
    <w:uiPriority w:val="0"/>
    <w:pPr>
      <w:ind w:firstLine="540"/>
    </w:pPr>
    <w:rPr>
      <w:sz w:val="28"/>
    </w:rPr>
  </w:style>
  <w:style w:type="paragraph" w:styleId="4">
    <w:name w:val="envelope return"/>
    <w:basedOn w:val="1"/>
    <w:next w:val="1"/>
    <w:qFormat/>
    <w:uiPriority w:val="0"/>
    <w:pPr>
      <w:snapToGrid w:val="0"/>
    </w:pPr>
    <w:rPr>
      <w:rFonts w:ascii="Arial" w:hAnsi="Arial" w:eastAsia="宋体" w:cs="Arial"/>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2023-11-13T03:39:00Z</dcterms:created>
  <dc:creator>NTKO</dc:creator>
  <cp:lastModifiedBy>NTKO</cp:lastModifiedBy>
  <dcterms:modified xsi:type="dcterms:W3CDTF">2023-11-13T03:39:36Z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